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Bdr>
          <w:bottom w:val="single" w:sz="4" w:space="0" w:color="DDDDDD"/>
        </w:pBdr>
        <w:spacing w:after="60" w:line="264" w:lineRule="auto"/>
      </w:pPr>
      <w:r>
        <w:rPr>
          <w:rFonts w:ascii="Calibri" w:hAnsi="Calibri"/>
          <w:color w:val="666666"/>
          <w:sz w:val="15"/>
          <w:szCs w:val="15"/>
        </w:rPr>
        <w:t xml:space="preserve">Erika Beispiel · Beispielweg 2, 12345 Musterstadt</w:t>
      </w:r>
    </w:p>
    <w:p>
      <w:pPr>
        <w:spacing w:after="120" w:line="264" w:lineRule="auto"/>
      </w:pPr>
    </w:p>
    <w:p>
      <w:pPr>
        <w:spacing w:after="20" w:line="264" w:lineRule="auto"/>
      </w:pPr>
      <w:r>
        <w:rPr>
          <w:rFonts w:ascii="Calibri" w:hAnsi="Calibri"/>
          <w:b/>
          <w:sz w:val="22"/>
          <w:szCs w:val="22"/>
        </w:rPr>
        <w:t xml:space="preserve">Maxi Muster</w:t>
      </w:r>
    </w:p>
    <w:p>
      <w:pPr>
        <w:spacing w:after="20" w:line="264" w:lineRule="auto"/>
      </w:pPr>
      <w:r>
        <w:rPr>
          <w:rFonts w:ascii="Calibri" w:hAnsi="Calibri"/>
          <w:sz w:val="22"/>
          <w:szCs w:val="22"/>
        </w:rPr>
        <w:t xml:space="preserve">Musterstraße 12, 2. OG links, 12345 Musterstadt</w:t>
      </w:r>
    </w:p>
    <w:p>
      <w:pPr>
        <w:spacing w:after="160" w:line="264" w:lineRule="auto"/>
      </w:pPr>
    </w:p>
    <w:p>
      <w:pPr>
        <w:spacing w:after="300" w:line="264" w:lineRule="auto"/>
        <w:jc w:val="right"/>
      </w:pPr>
      <w:r>
        <w:rPr>
          <w:rFonts w:ascii="Calibri" w:hAnsi="Calibri"/>
          <w:sz w:val="22"/>
          <w:szCs w:val="22"/>
        </w:rPr>
        <w:t xml:space="preserve">26.08.2026</w:t>
      </w:r>
    </w:p>
    <w:p>
      <w:pPr>
        <w:spacing w:after="200" w:line="264" w:lineRule="auto"/>
      </w:pPr>
      <w:r>
        <w:rPr>
          <w:rFonts w:ascii="Calibri" w:hAnsi="Calibri"/>
          <w:b/>
          <w:sz w:val="22"/>
          <w:szCs w:val="22"/>
        </w:rPr>
        <w:t xml:space="preserve">Betreff: Betriebskostenabrechnung 01.01.2025 – 31.12.2025</w:t>
      </w:r>
    </w:p>
    <w:p>
      <w:pPr>
        <w:spacing w:after="120" w:line="264" w:lineRule="auto"/>
      </w:pPr>
      <w:r>
        <w:rPr>
          <w:rFonts w:ascii="Calibri" w:hAnsi="Calibri"/>
          <w:sz w:val="22"/>
          <w:szCs w:val="22"/>
        </w:rPr>
        <w:t xml:space="preserve">Sehr geehrte(r) Maxi Muster,</w:t>
      </w:r>
    </w:p>
    <w:p>
      <w:pPr>
        <w:spacing w:after="200" w:line="264" w:lineRule="auto"/>
      </w:pPr>
      <w:r>
        <w:rPr>
          <w:rFonts w:ascii="Calibri" w:hAnsi="Calibri"/>
          <w:sz w:val="22"/>
          <w:szCs w:val="22"/>
        </w:rPr>
        <w:t xml:space="preserve">hiermit übersenden wir Ihnen die Betriebskostenabrechnung für das Mietobjekt </w:t>
      </w:r>
      <w:r>
        <w:rPr>
          <w:rFonts w:ascii="Calibri" w:hAnsi="Calibri"/>
          <w:b/>
          <w:sz w:val="22"/>
          <w:szCs w:val="22"/>
        </w:rPr>
        <w:t xml:space="preserve">Musterstraße 12, 2. OG links, 12345 Musterstadt</w:t>
      </w:r>
      <w:r>
        <w:rPr>
          <w:rFonts w:ascii="Calibri" w:hAnsi="Calibri"/>
          <w:sz w:val="22"/>
          <w:szCs w:val="22"/>
        </w:rPr>
        <w:t xml:space="preserve"> für den Abrechnungszeitraum 01.01.2025 – 31.12.2025.</w:t>
      </w:r>
    </w:p>
    <w:tbl>
      <w:tblPr>
        <w:tblW w:w="5000" w:type="pct"/>
        <w:tblLayout w:type="fixed"/>
        <w:tblCellMar>
          <w:left w:w="60" w:type="dxa"/>
          <w:right w:w="60" w:type="dxa"/>
        </w:tblCellMar>
      </w:tblPr>
      <w:tblGrid>
        <w:gridCol w:w="4127"/>
        <w:gridCol w:w="6190"/>
      </w:tblGrid>
      <w:tr>
        <w:tc>
          <w:tcPr>
            <w:tcW w:w="2000" w:type="pct"/>
            <w:tcBorders>
              <w:top w:val="single" w:sz="4" w:space="0" w:color="DDDDDD"/>
              <w:bottom w:val="single" w:sz="4" w:space="0" w:color="DDDDDD"/>
              <w:left w:val="nil"/>
              <w:right w:val="nil"/>
            </w:tcBorders>
            <w:shd w:val="clear" w:color="auto" w:fill="F9F9F9"/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color w:val="666666"/>
                <w:sz w:val="17"/>
                <w:szCs w:val="17"/>
              </w:rPr>
              <w:t xml:space="preserve">Mietobjekt:</w:t>
            </w:r>
          </w:p>
        </w:tc>
        <w:tc>
          <w:tcPr>
            <w:tcW w:w="3000" w:type="pct"/>
            <w:tcBorders>
              <w:top w:val="single" w:sz="4" w:space="0" w:color="DDDDDD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Musterstraße 12, 2. OG links, 12345 Musterstadt</w:t>
            </w:r>
          </w:p>
        </w:tc>
      </w:tr>
      <w:tr>
        <w:tc>
          <w:tcPr>
            <w:tcW w:w="2000" w:type="pct"/>
            <w:tcBorders>
              <w:top w:val="single" w:sz="4" w:space="0" w:color="DDDDDD"/>
              <w:bottom w:val="single" w:sz="4" w:space="0" w:color="DDDDDD"/>
              <w:left w:val="nil"/>
              <w:right w:val="nil"/>
            </w:tcBorders>
            <w:shd w:val="clear" w:color="auto" w:fill="F9F9F9"/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color w:val="666666"/>
                <w:sz w:val="17"/>
                <w:szCs w:val="17"/>
              </w:rPr>
              <w:t xml:space="preserve">Wohnfläche:</w:t>
            </w:r>
          </w:p>
        </w:tc>
        <w:tc>
          <w:tcPr>
            <w:tcW w:w="3000" w:type="pct"/>
            <w:tcBorders>
              <w:top w:val="single" w:sz="4" w:space="0" w:color="DDDDDD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70,00 m²</w:t>
            </w:r>
          </w:p>
        </w:tc>
      </w:tr>
      <w:tr>
        <w:tc>
          <w:tcPr>
            <w:tcW w:w="2000" w:type="pct"/>
            <w:tcBorders>
              <w:top w:val="single" w:sz="4" w:space="0" w:color="DDDDDD"/>
              <w:bottom w:val="single" w:sz="4" w:space="0" w:color="DDDDDD"/>
              <w:left w:val="nil"/>
              <w:right w:val="nil"/>
            </w:tcBorders>
            <w:shd w:val="clear" w:color="auto" w:fill="F9F9F9"/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color w:val="666666"/>
                <w:sz w:val="17"/>
                <w:szCs w:val="17"/>
              </w:rPr>
              <w:t xml:space="preserve">Abrechnungszeitraum:</w:t>
            </w:r>
          </w:p>
        </w:tc>
        <w:tc>
          <w:tcPr>
            <w:tcW w:w="3000" w:type="pct"/>
            <w:tcBorders>
              <w:top w:val="single" w:sz="4" w:space="0" w:color="DDDDDD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01.01.2025 – 31.12.2025</w:t>
            </w:r>
          </w:p>
        </w:tc>
      </w:tr>
    </w:tbl>
    <w:p>
      <w:pPr>
        <w:spacing w:after="200" w:line="264" w:lineRule="auto"/>
      </w:pPr>
    </w:p>
    <w:p>
      <w:pPr>
        <w:pBdr>
          <w:bottom w:val="single" w:sz="16" w:space="0" w:color="222222"/>
        </w:pBdr>
        <w:spacing w:after="100" w:line="264" w:lineRule="auto"/>
      </w:pPr>
      <w:r>
        <w:rPr>
          <w:rFonts w:ascii="Calibri" w:hAnsi="Calibri"/>
          <w:b/>
          <w:sz w:val="21"/>
          <w:szCs w:val="21"/>
        </w:rPr>
        <w:t xml:space="preserve">Kostenübersicht nach Betriebskostenverordnung (BetrKV)</w:t>
      </w:r>
    </w:p>
    <w:tbl>
      <w:tblPr>
        <w:tblW w:w="5000" w:type="pct"/>
        <w:tblLayout w:type="fixed"/>
        <w:tblCellMar>
          <w:left w:w="60" w:type="dxa"/>
          <w:right w:w="60" w:type="dxa"/>
        </w:tblCellMar>
      </w:tblPr>
      <w:tblGrid>
        <w:gridCol w:w="4643"/>
        <w:gridCol w:w="1754"/>
        <w:gridCol w:w="1960"/>
        <w:gridCol w:w="1960"/>
      </w:tblGrid>
      <w:tr>
        <w:tc>
          <w:tcPr>
            <w:tcW w:w="2250" w:type="pct"/>
            <w:tcBorders>
              <w:top w:val="nil"/>
              <w:bottom w:val="single" w:sz="16" w:space="0" w:color="222222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Kostenart</w:t>
            </w:r>
          </w:p>
        </w:tc>
        <w:tc>
          <w:tcPr>
            <w:tcW w:w="850" w:type="pct"/>
            <w:tcBorders>
              <w:top w:val="nil"/>
              <w:bottom w:val="single" w:sz="16" w:space="0" w:color="222222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Schlüssel</w:t>
            </w:r>
          </w:p>
        </w:tc>
        <w:tc>
          <w:tcPr>
            <w:tcW w:w="950" w:type="pct"/>
            <w:tcBorders>
              <w:top w:val="nil"/>
              <w:bottom w:val="single" w:sz="16" w:space="0" w:color="222222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Gesamtkosten</w:t>
            </w:r>
          </w:p>
        </w:tc>
        <w:tc>
          <w:tcPr>
            <w:tcW w:w="950" w:type="pct"/>
            <w:tcBorders>
              <w:top w:val="nil"/>
              <w:bottom w:val="single" w:sz="16" w:space="0" w:color="222222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Ihr Anteil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Grundsteuer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1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1.404,00 €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234,00 €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Wasserversorgung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2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1.890,00 €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315,00 €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Entwässerung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3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1.512,00 €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252,00 €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Heizung und Warmwasser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4-6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lt. Abrechnung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1.087,50 €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1.087,50 €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Müllbeseitigung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8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Einheiten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1.050,00 €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175,00 €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Gebäudereinigung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9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1.140,00 €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190,00 €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Gartenpflege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10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690,00 €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115,00 €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Allgemeinstrom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11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456,00 €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76,00 €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Schornsteinreinigung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12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Einheiten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174,00 €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29,00 €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Sach- und Haftpflichtversicherung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13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1.242,00 €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207,00 €</w:t>
            </w:r>
          </w:p>
        </w:tc>
      </w:tr>
      <w:tr>
        <w:tc>
          <w:tcPr>
            <w:tcW w:w="22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sz w:val="17"/>
                <w:szCs w:val="17"/>
              </w:rPr>
              <w:t xml:space="preserve">Hauswart</w:t>
            </w:r>
            <w:r>
              <w:rPr>
                <w:rFonts w:ascii="Calibri" w:hAnsi="Calibri"/>
                <w:color w:val="888888"/>
                <w:sz w:val="15"/>
                <w:szCs w:val="15"/>
              </w:rPr>
              <w:t xml:space="preserve">  § 2 Nr. 14 BetrKV</w:t>
            </w:r>
          </w:p>
        </w:tc>
        <w:tc>
          <w:tcPr>
            <w:tcW w:w="8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Calibri" w:hAnsi="Calibri"/>
                <w:sz w:val="17"/>
                <w:szCs w:val="17"/>
              </w:rPr>
              <w:t xml:space="preserve">Wohnfläche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1.470,00 €</w:t>
            </w:r>
          </w:p>
        </w:tc>
        <w:tc>
          <w:tcPr>
            <w:tcW w:w="950" w:type="pct"/>
            <w:tcBorders>
              <w:top w:val="nil"/>
              <w:bottom w:val="single" w:sz="4" w:space="0" w:color="DDDDDD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245,00 €</w:t>
            </w:r>
          </w:p>
        </w:tc>
      </w:tr>
      <w:tr>
        <w:tc>
          <w:tcPr>
            <w:tcW w:w="3100" w:type="pct"/>
            <w:gridSpan w:val="2"/>
            <w:tcBorders>
              <w:top w:val="single" w:sz="16" w:space="0" w:color="222222"/>
              <w:bottom w:val="nil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Summe</w:t>
            </w:r>
          </w:p>
        </w:tc>
        <w:tc>
          <w:tcPr>
            <w:tcW w:w="950" w:type="pct"/>
            <w:tcBorders>
              <w:top w:val="single" w:sz="16" w:space="0" w:color="222222"/>
              <w:bottom w:val="nil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2.925,50 €</w:t>
            </w:r>
          </w:p>
        </w:tc>
        <w:tc>
          <w:tcPr>
            <w:tcW w:w="950" w:type="pct"/>
            <w:tcBorders>
              <w:top w:val="single" w:sz="16" w:space="0" w:color="222222"/>
              <w:bottom w:val="nil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2.925,50 €</w:t>
            </w:r>
          </w:p>
        </w:tc>
      </w:tr>
    </w:tbl>
    <w:p>
      <w:pPr>
        <w:spacing w:after="200" w:line="264" w:lineRule="auto"/>
      </w:pPr>
    </w:p>
    <w:tbl>
      <w:tblPr>
        <w:tblW w:w="5000" w:type="pct"/>
        <w:tblLayout w:type="fixed"/>
        <w:tblCellMar>
          <w:left w:w="60" w:type="dxa"/>
          <w:right w:w="60" w:type="dxa"/>
        </w:tblCellMar>
      </w:tblPr>
      <w:tblGrid>
        <w:gridCol w:w="6706"/>
        <w:gridCol w:w="3611"/>
      </w:tblGrid>
      <w:tr>
        <w:tc>
          <w:tcPr>
            <w:tcW w:w="3250" w:type="pct"/>
            <w:tcBorders>
              <w:top w:val="nil"/>
              <w:bottom w:val="nil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Summe berücksichtigter Betriebskosten</w:t>
            </w:r>
          </w:p>
        </w:tc>
        <w:tc>
          <w:tcPr>
            <w:tcW w:w="1750" w:type="pct"/>
            <w:tcBorders>
              <w:top w:val="nil"/>
              <w:bottom w:val="nil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2.925,50 €</w:t>
            </w:r>
          </w:p>
        </w:tc>
      </w:tr>
      <w:tr>
        <w:tc>
          <w:tcPr>
            <w:tcW w:w="3250" w:type="pct"/>
            <w:tcBorders>
              <w:top w:val="nil"/>
              <w:bottom w:val="nil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color w:val="555555"/>
                <w:sz w:val="17"/>
                <w:szCs w:val="17"/>
              </w:rPr>
              <w:t xml:space="preserve">./. Geleistete Vorauszahlungen</w:t>
            </w:r>
          </w:p>
        </w:tc>
        <w:tc>
          <w:tcPr>
            <w:tcW w:w="1750" w:type="pct"/>
            <w:tcBorders>
              <w:top w:val="nil"/>
              <w:bottom w:val="nil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sz w:val="17"/>
                <w:szCs w:val="17"/>
              </w:rPr>
              <w:t xml:space="preserve">- 2.700,00 €</w:t>
            </w:r>
          </w:p>
        </w:tc>
      </w:tr>
      <w:tr>
        <w:tc>
          <w:tcPr>
            <w:tcW w:w="3250" w:type="pct"/>
            <w:tcBorders>
              <w:top w:val="single" w:sz="16" w:space="0" w:color="222222"/>
              <w:bottom w:val="single" w:sz="16" w:space="0" w:color="222222"/>
              <w:left w:val="nil"/>
              <w:right w:val="nil"/>
            </w:tcBorders>
            <w:vAlign w:val="center"/>
          </w:tcPr>
          <w:p>
            <w:pPr>
              <w:spacing w:before="30" w:after="30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Nachzahlung</w:t>
            </w:r>
          </w:p>
        </w:tc>
        <w:tc>
          <w:tcPr>
            <w:tcW w:w="1750" w:type="pct"/>
            <w:tcBorders>
              <w:top w:val="single" w:sz="16" w:space="0" w:color="222222"/>
              <w:bottom w:val="single" w:sz="16" w:space="0" w:color="222222"/>
              <w:left w:val="nil"/>
              <w:right w:val="nil"/>
            </w:tcBorders>
            <w:vAlign w:val="center"/>
          </w:tcPr>
          <w:p>
            <w:pPr>
              <w:spacing w:before="30" w:after="30"/>
              <w:jc w:val="right"/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225,50 €</w:t>
            </w:r>
          </w:p>
        </w:tc>
      </w:tr>
    </w:tbl>
    <w:p>
      <w:pPr>
        <w:spacing w:after="200" w:line="264" w:lineRule="auto"/>
      </w:pPr>
    </w:p>
    <w:p>
      <w:pPr>
        <w:spacing w:after="80" w:line="264" w:lineRule="auto"/>
      </w:pPr>
      <w:r>
        <w:rPr>
          <w:rFonts w:ascii="Calibri" w:hAnsi="Calibri"/>
          <w:b/>
          <w:sz w:val="21"/>
          <w:szCs w:val="21"/>
        </w:rPr>
        <w:t xml:space="preserve">Prüfhinweise</w:t>
      </w:r>
    </w:p>
    <w:p>
      <w:pPr>
        <w:spacing w:after="60" w:line="264" w:lineRule="auto"/>
      </w:pPr>
      <w:r>
        <w:rPr>
          <w:rFonts w:ascii="Calibri" w:hAnsi="Calibri"/>
          <w:b/>
          <w:color w:val="444444"/>
          <w:sz w:val="17"/>
          <w:szCs w:val="17"/>
        </w:rPr>
        <w:t xml:space="preserve">Belegeinsicht: </w:t>
      </w:r>
      <w:r>
        <w:rPr>
          <w:rFonts w:ascii="Calibri" w:hAnsi="Calibri"/>
          <w:color w:val="444444"/>
          <w:sz w:val="17"/>
          <w:szCs w:val="17"/>
        </w:rPr>
        <w:t xml:space="preserve">§ 259 Abs. 1 BGB kann als möglicher Prüfbezug für Belegeinsicht dienen. Bitte stimmen Sie Termin, Umfang und Unterlagen anhand des Einzelfalls ab.</w:t>
      </w:r>
    </w:p>
    <w:p>
      <w:pPr>
        <w:spacing w:after="300" w:line="264" w:lineRule="auto"/>
      </w:pPr>
      <w:r>
        <w:rPr>
          <w:rFonts w:ascii="Calibri" w:hAnsi="Calibri"/>
          <w:b/>
          <w:color w:val="444444"/>
          <w:sz w:val="17"/>
          <w:szCs w:val="17"/>
        </w:rPr>
        <w:t xml:space="preserve">Einwendungsfrist: </w:t>
      </w:r>
      <w:r>
        <w:rPr>
          <w:rFonts w:ascii="Calibri" w:hAnsi="Calibri"/>
          <w:color w:val="444444"/>
          <w:sz w:val="17"/>
          <w:szCs w:val="17"/>
        </w:rPr>
        <w:t xml:space="preserve">§ 556 Abs. 3 Satz 5 BGB nennt eine 12-Monats-Frist als möglichen Orientierungspunkt. Zugang, Fristbeginn und Ausnahmen sollten eigenständig oder fachlich geprüft werden.</w:t>
      </w:r>
    </w:p>
    <w:p>
      <w:pPr>
        <w:spacing w:after="400" w:line="264" w:lineRule="auto"/>
      </w:pPr>
      <w:r>
        <w:rPr>
          <w:rFonts w:ascii="Calibri" w:hAnsi="Calibri"/>
          <w:sz w:val="22"/>
          <w:szCs w:val="22"/>
        </w:rPr>
        <w:t xml:space="preserve">Mit freundlichen Grüßen</w:t>
      </w:r>
    </w:p>
    <w:p>
      <w:pPr>
        <w:spacing w:after="300" w:line="264" w:lineRule="auto"/>
      </w:pPr>
      <w:r>
        <w:rPr>
          <w:rFonts w:ascii="Calibri" w:hAnsi="Calibri"/>
          <w:b/>
          <w:sz w:val="22"/>
          <w:szCs w:val="22"/>
        </w:rPr>
        <w:t xml:space="preserve">Erika Beispiel</w:t>
      </w:r>
    </w:p>
    <w:p>
      <w:pPr>
        <w:spacing w:after="160" w:line="264" w:lineRule="auto"/>
      </w:pPr>
      <w:r>
        <w:rPr>
          <w:rFonts w:ascii="Calibri" w:hAnsi="Calibri"/>
          <w:i/>
          <w:color w:val="999999"/>
          <w:sz w:val="15"/>
          <w:szCs w:val="15"/>
        </w:rPr>
        <w:t xml:space="preserve">Erstellt am 26.08.2026 · Alle Angaben ohne Gewähr – bitte vor Versand eigenverantwortlich prüfen.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